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25" w:rsidRPr="00971925" w:rsidRDefault="00971925" w:rsidP="00971925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</w:pPr>
      <w:r w:rsidRPr="00971925"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  <w:t>Буксировка неисправных механических транспортных средств и прицепов.</w:t>
      </w:r>
    </w:p>
    <w:p w:rsidR="00971925" w:rsidRPr="00971925" w:rsidRDefault="00971925" w:rsidP="00971925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proofErr w:type="gramStart"/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74. 1)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 случае повреждения механического транспортного средства водитель должен немедленно отвести его за пределы проезжей части, а если это невозможно, переместить как можно ближе к бордюру и, при необходимости, сообщить в службу технической помощи.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Если неисправное транспортное средство не удаётся удалить с проезжей части и при этом создаются помехи для других участников дорожного движения, водитель должен обозначить его</w:t>
      </w:r>
      <w:proofErr w:type="gram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соответствии с пунктом 37 подпункт 1) </w:t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настоящих Правил (то есть включить аварийную сигнализацию).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D70145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645910" cy="4439102"/>
            <wp:effectExtent l="19050" t="0" r="2540" b="0"/>
            <wp:docPr id="1" name="Рисунок 1" descr="B:\темы  занятий\основы законодательства в ПДД\17-1. буксировка механических ТС\буксир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темы  занятий\основы законодательства в ПДД\17-1. буксировка механических ТС\буксировк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75.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Буксировка неисправных механических транспортных средств осуществляется с соблюдением следующих условий: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посредством гибкой сцепки длиной от 4 до 6 м, которая должна быть обозначена через каждый метр флажками красного цвета размером 200 </w:t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200 мм, в случае, если на буксируемом транспортном средстве исправны рабочая тормозная система и рулевое управление;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посредством металлической штанги (жёсткой сцепки) длиной не более 3 м или устройства, обеспечивающего следование буксируемого транспортного средства по траектории буксирующего, если на буксируемом транспортном средстве исправно рулевое управление;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 неисправном рулевом управлении - посредством погрузки передней части буксируемого транспортного средства в кузов буксирующего или на специальную платформу;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за рулём буксирующего транспортного средства должен находиться 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водитель со стажем вождения не менее 1 года;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e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 буксировке на гибкой сцепке или посредством металлической штанги за рулём буксируемого транспортного средства должен находиться водитель, имеющий водительское удостоверение соответствующей категории (подкатегории);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механические транспортные средства в процессе буксировки должны быть обозначены в соответствии с пунктом 34 подпункт 3) </w:t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настоящих Правил.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76.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Буксировка запрещается: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гололедицу на гибкой сцепке;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мотоциклами без бокового прицепа, а также таких мотоциклов;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двух механических транспортных средств одновременно;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если фактическая масса буксируемого транспортного средства с неисправной рабочей тормозной системой превышает половину фактической массы буксирующего.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77. 1)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буксировке посредством гибкой или жёсткой сцепки запрещается перевозить людей в буксируемом автобусе, троллейбусе и в кузове буксируемого грузового автомобиля.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буксировке посредством частичной погрузки запрещается нахождение людей в кабине и кузове буксируемого транспортного средства, а также в кузове буксирующего</w:t>
      </w:r>
      <w:proofErr w:type="gram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78. 1)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Автомобиль может буксировать только один прицеп. </w:t>
      </w:r>
      <w:proofErr w:type="gram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 этом длина состава транспортных средств не должна превышать 20 м. Трактор может буксировать два прицепа при условии, что длина состава не будет превышать 24 м, а скорость не будет превышать 30 км/ч.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Автобус может буксировать прицеп для перевозки багажа, разрешённая максимальная масса которого не более 3000 кг.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Мотоцикл без бокового прицепа, мопед, а также велосипед могут</w:t>
      </w:r>
      <w:proofErr w:type="gram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буксировать одноосный прицеп.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79. 1)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Соединение транспортного средства с одним или двумя прицепами осуществляется только при условии, если: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элементы, составляющие сцепное устройство, соответствуют модели тягача и прицепа;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тип прицепа соответствует типу тягача.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97192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9719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Скорость состава транспортных средств не должна превышать максимально установленную заводом-изготовителем скорость любого из его составляющих.</w:t>
      </w:r>
    </w:p>
    <w:p w:rsidR="00B12B4D" w:rsidRPr="00971925" w:rsidRDefault="00B12B4D" w:rsidP="00971925">
      <w:pPr>
        <w:rPr>
          <w:sz w:val="28"/>
          <w:szCs w:val="28"/>
        </w:rPr>
      </w:pPr>
    </w:p>
    <w:sectPr w:rsidR="00B12B4D" w:rsidRPr="00971925" w:rsidSect="00971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925"/>
    <w:rsid w:val="00971925"/>
    <w:rsid w:val="00B12B4D"/>
    <w:rsid w:val="00D01964"/>
    <w:rsid w:val="00D7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4D"/>
  </w:style>
  <w:style w:type="paragraph" w:styleId="4">
    <w:name w:val="heading 4"/>
    <w:basedOn w:val="a"/>
    <w:link w:val="40"/>
    <w:uiPriority w:val="9"/>
    <w:qFormat/>
    <w:rsid w:val="009719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1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925"/>
  </w:style>
  <w:style w:type="paragraph" w:styleId="a3">
    <w:name w:val="Balloon Text"/>
    <w:basedOn w:val="a"/>
    <w:link w:val="a4"/>
    <w:uiPriority w:val="99"/>
    <w:semiHidden/>
    <w:unhideWhenUsed/>
    <w:rsid w:val="00D7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59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ACER</cp:lastModifiedBy>
  <cp:revision>5</cp:revision>
  <dcterms:created xsi:type="dcterms:W3CDTF">2014-09-29T02:22:00Z</dcterms:created>
  <dcterms:modified xsi:type="dcterms:W3CDTF">2016-01-11T15:00:00Z</dcterms:modified>
</cp:coreProperties>
</file>